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79" w:rsidRDefault="00DA6679" w:rsidP="00DA6679">
      <w:pPr>
        <w:jc w:val="center"/>
        <w:rPr>
          <w:b/>
          <w:bCs/>
        </w:rPr>
      </w:pPr>
      <w:r>
        <w:rPr>
          <w:b/>
          <w:bCs/>
        </w:rPr>
        <w:t xml:space="preserve">ОТЧЕТ  </w:t>
      </w:r>
    </w:p>
    <w:p w:rsidR="00DA6679" w:rsidRDefault="00DA6679" w:rsidP="00DA6679">
      <w:pPr>
        <w:jc w:val="center"/>
        <w:rPr>
          <w:b/>
          <w:bCs/>
        </w:rPr>
      </w:pPr>
      <w:r>
        <w:rPr>
          <w:b/>
          <w:bCs/>
        </w:rPr>
        <w:t>об итогах голосования на внеочередном общем собрании акционеров</w:t>
      </w:r>
    </w:p>
    <w:p w:rsidR="00DA6679" w:rsidRDefault="00DA6679" w:rsidP="00DA6679">
      <w:pPr>
        <w:jc w:val="center"/>
        <w:rPr>
          <w:b/>
          <w:bCs/>
        </w:rPr>
      </w:pPr>
      <w:r>
        <w:rPr>
          <w:b/>
          <w:bCs/>
        </w:rPr>
        <w:t xml:space="preserve">Акционерного </w:t>
      </w:r>
      <w:proofErr w:type="gramStart"/>
      <w:r>
        <w:rPr>
          <w:b/>
          <w:bCs/>
        </w:rPr>
        <w:t>общества  «</w:t>
      </w:r>
      <w:proofErr w:type="gramEnd"/>
      <w:r>
        <w:rPr>
          <w:b/>
          <w:bCs/>
        </w:rPr>
        <w:t>Терминал Астафьева»</w:t>
      </w:r>
    </w:p>
    <w:p w:rsidR="00DA6679" w:rsidRDefault="00DA6679" w:rsidP="00DA6679">
      <w:pPr>
        <w:jc w:val="center"/>
        <w:rPr>
          <w:b/>
          <w:bCs/>
        </w:rPr>
      </w:pPr>
    </w:p>
    <w:p w:rsidR="00DA6679" w:rsidRDefault="00DA6679" w:rsidP="00DA6679">
      <w:pPr>
        <w:tabs>
          <w:tab w:val="left" w:pos="0"/>
        </w:tabs>
        <w:jc w:val="both"/>
        <w:rPr>
          <w:b/>
          <w:bCs/>
        </w:rPr>
      </w:pPr>
      <w:r>
        <w:t>Полное фирменное наименование общества: Акционерное общество «Терминал Астафьева».</w:t>
      </w:r>
    </w:p>
    <w:p w:rsidR="00DA6679" w:rsidRDefault="00DA6679" w:rsidP="00DA6679">
      <w:pPr>
        <w:jc w:val="both"/>
      </w:pPr>
      <w:r>
        <w:t xml:space="preserve">Место нахождения </w:t>
      </w:r>
      <w:proofErr w:type="gramStart"/>
      <w:r>
        <w:t xml:space="preserve">общества: </w:t>
      </w:r>
      <w:r>
        <w:rPr>
          <w:b/>
          <w:bCs/>
        </w:rPr>
        <w:t xml:space="preserve"> </w:t>
      </w:r>
      <w:r>
        <w:t>Приморский</w:t>
      </w:r>
      <w:proofErr w:type="gramEnd"/>
      <w:r>
        <w:t xml:space="preserve"> край, г. Владивосток, ул. Херсонская, д. 5, </w:t>
      </w:r>
      <w:proofErr w:type="spellStart"/>
      <w:r>
        <w:t>каб</w:t>
      </w:r>
      <w:proofErr w:type="spellEnd"/>
      <w:r>
        <w:t>. 25</w:t>
      </w:r>
    </w:p>
    <w:p w:rsidR="00DA6679" w:rsidRDefault="00DA6679" w:rsidP="00DA6679">
      <w:pPr>
        <w:jc w:val="both"/>
      </w:pPr>
      <w:r>
        <w:t xml:space="preserve">Адрес общества: 690012, Приморский край, гор. Владивосток, ул. Херсонская, д. 5, </w:t>
      </w:r>
      <w:proofErr w:type="spellStart"/>
      <w:r>
        <w:t>каб</w:t>
      </w:r>
      <w:proofErr w:type="spellEnd"/>
      <w:r>
        <w:t>. 25</w:t>
      </w:r>
    </w:p>
    <w:p w:rsidR="00DA6679" w:rsidRDefault="00DA6679" w:rsidP="00DA6679">
      <w:pPr>
        <w:pStyle w:val="2"/>
        <w:keepNext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Вид общего собрания: внеочередное.</w:t>
      </w:r>
    </w:p>
    <w:p w:rsidR="00DA6679" w:rsidRDefault="00DA6679" w:rsidP="00DA6679">
      <w:pPr>
        <w:pStyle w:val="2"/>
        <w:keepNext/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Форма проведения общего собрания: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собрание.</w:t>
      </w:r>
      <w:r>
        <w:rPr>
          <w:b/>
          <w:bCs/>
          <w:sz w:val="22"/>
          <w:szCs w:val="22"/>
        </w:rPr>
        <w:t xml:space="preserve"> </w:t>
      </w:r>
    </w:p>
    <w:p w:rsidR="00DA6679" w:rsidRDefault="00DA6679" w:rsidP="00DA6679">
      <w:pPr>
        <w:pStyle w:val="2"/>
        <w:keepNext/>
        <w:tabs>
          <w:tab w:val="left" w:pos="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Дата проведения общего собрания: 13 сентября 2022 г</w:t>
      </w:r>
      <w:r>
        <w:rPr>
          <w:b/>
          <w:bCs/>
          <w:sz w:val="22"/>
          <w:szCs w:val="22"/>
        </w:rPr>
        <w:t xml:space="preserve">. </w:t>
      </w:r>
    </w:p>
    <w:p w:rsidR="00DA6679" w:rsidRDefault="00DA6679" w:rsidP="00DA6679">
      <w:r>
        <w:t xml:space="preserve">Дата, на которую определяются (фиксируются) лица, имеющие право на участие в общем собрании </w:t>
      </w:r>
      <w:proofErr w:type="gramStart"/>
      <w:r>
        <w:t xml:space="preserve">акционеров: </w:t>
      </w:r>
      <w:r>
        <w:rPr>
          <w:color w:val="FF0000"/>
        </w:rPr>
        <w:t xml:space="preserve"> </w:t>
      </w:r>
      <w:r>
        <w:t>19</w:t>
      </w:r>
      <w:proofErr w:type="gramEnd"/>
      <w:r>
        <w:t xml:space="preserve"> августа 2022 г.</w:t>
      </w:r>
    </w:p>
    <w:p w:rsidR="00DA6679" w:rsidRDefault="00DA6679" w:rsidP="00DA6679">
      <w:pPr>
        <w:tabs>
          <w:tab w:val="left" w:pos="0"/>
        </w:tabs>
        <w:jc w:val="both"/>
      </w:pPr>
      <w:r>
        <w:t>Место проведения общего собрания: Приморский край, г. Владивосток, ул. Херсонская, д. 5.</w:t>
      </w:r>
    </w:p>
    <w:p w:rsidR="00DA6679" w:rsidRDefault="00DA6679" w:rsidP="00DA6679">
      <w:pPr>
        <w:tabs>
          <w:tab w:val="left" w:pos="0"/>
        </w:tabs>
        <w:jc w:val="both"/>
        <w:rPr>
          <w:b/>
          <w:bCs/>
        </w:rPr>
      </w:pPr>
    </w:p>
    <w:p w:rsidR="00DA6679" w:rsidRDefault="00DA6679" w:rsidP="00DA6679">
      <w:pPr>
        <w:pStyle w:val="3"/>
        <w:keepNext/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дня:</w:t>
      </w:r>
    </w:p>
    <w:p w:rsidR="00DA6679" w:rsidRDefault="00DA6679" w:rsidP="00DA6679">
      <w:pPr>
        <w:jc w:val="both"/>
      </w:pPr>
      <w:r>
        <w:t xml:space="preserve">    1. Об одобрении крупной сделки – договора поручительства ДП2-ЦУ-702750/2022/00004 от 31.03.2022 г. между АО «Терминал Астафьева» (ИНН 2508001618) и Банком ВТБ (публичное акционерное общество) по кредитным обязательствам АО «ДАЛЬКОМХОЛОД» (ИНН 2537003955), возникающим из кредитного соглашения №КС-ЦУ-702750/2022/00004 от 31.03.2022 г. о выдаче кредита в виде кредитной линии с лимитом выдачи 800 000 000,00 (восемьсот миллионов) рублей, сроком до 2555 (две тысячи пятьсот пятидесяти пяти) календарных дней.</w:t>
      </w:r>
    </w:p>
    <w:p w:rsidR="00DA6679" w:rsidRDefault="00DA6679" w:rsidP="00DA6679">
      <w:pPr>
        <w:jc w:val="both"/>
      </w:pPr>
      <w:r>
        <w:t xml:space="preserve">    2. Об одобрении сделки с заинтересованностью - договора поручительства ДП2-ЦУ-702750/2022/00004 от 31.03.2022 г. между АО «Терминал Астафьева» (ИНН 2508001618) и Банком ВТБ (публичное акционерное общество) по кредитным обязательствам АО «ДАЛЬКОМХОЛОД» (ИНН 2537003955), возникающим из кредитного соглашения №КС-ЦУ-702750/2022/00004 от 31.03.2022 г. о выдаче кредита в виде кредитной линии с лимитом выдачи 800 000 000,00 (восемьсот миллионов) рублей, сроком до 2555 (две тысячи пятьсот пятидесяти пяти) календарных дней.</w:t>
      </w:r>
    </w:p>
    <w:p w:rsidR="00DA6679" w:rsidRDefault="00DA6679" w:rsidP="00DA6679">
      <w:pPr>
        <w:jc w:val="both"/>
      </w:pPr>
    </w:p>
    <w:p w:rsidR="00DA6679" w:rsidRDefault="00DA6679" w:rsidP="00DA6679">
      <w:pPr>
        <w:jc w:val="both"/>
      </w:pPr>
      <w:r>
        <w:rPr>
          <w:b/>
          <w:bCs/>
        </w:rPr>
        <w:t xml:space="preserve">Вопрос № 1 повестки дня общего собрания: </w:t>
      </w:r>
      <w:r>
        <w:t>Об одобрении крупной сделки – договора поручительства ДП2-ЦУ-702750/2022/00004 от 31.03.2022 г. между АО «Терминал Астафьева» (ИНН 2508001618) и Банком ВТБ (публичное акционерное общество) по кредитным обязательствам АО «ДАЛЬКОМХОЛОД» (ИНН 2537003955), возникающим из кредитного соглашения №КС-ЦУ-702750/2022/00004 от 31.03.2022 г. о выдаче кредита в виде кредитной линии с лимитом выдачи 800 000 000,00 (восемьсот миллионов) рублей, сроком до 2555 (две тысячи пятьсот пятидесяти пяти) календарных дней.</w:t>
      </w:r>
    </w:p>
    <w:p w:rsidR="00DA6679" w:rsidRDefault="00DA6679" w:rsidP="00DA6679">
      <w:pPr>
        <w:jc w:val="both"/>
      </w:pPr>
      <w:r>
        <w:rPr>
          <w:b/>
          <w:bCs/>
        </w:rPr>
        <w:t xml:space="preserve">Результаты голосования </w:t>
      </w:r>
      <w:proofErr w:type="gramStart"/>
      <w:r>
        <w:rPr>
          <w:b/>
          <w:bCs/>
        </w:rPr>
        <w:t>по  первому</w:t>
      </w:r>
      <w:proofErr w:type="gramEnd"/>
      <w:r>
        <w:rPr>
          <w:b/>
          <w:bCs/>
        </w:rPr>
        <w:t xml:space="preserve"> вопросу повестки дня</w:t>
      </w:r>
      <w:r>
        <w:t>:</w:t>
      </w:r>
    </w:p>
    <w:p w:rsidR="00DA6679" w:rsidRDefault="00DA6679" w:rsidP="00DA6679">
      <w:pPr>
        <w:jc w:val="both"/>
      </w:pPr>
      <w:r>
        <w:t xml:space="preserve">Число голосов, которыми обладали лица, включенные в список лиц, имевших право на участие в общем собрании акционеров, по данному вопросу повестки дня общего собрания, - 830 380. </w:t>
      </w:r>
    </w:p>
    <w:p w:rsidR="00DA6679" w:rsidRDefault="00DA6679" w:rsidP="00DA6679">
      <w:pPr>
        <w:jc w:val="both"/>
      </w:pPr>
      <w: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DA6679" w:rsidRDefault="00DA6679" w:rsidP="00DA6679">
      <w:pPr>
        <w:jc w:val="both"/>
      </w:pPr>
      <w:r>
        <w:lastRenderedPageBreak/>
        <w:t>Число голосов, которыми обладали лица, принявшие участие в общем собрании, по данному вопросу повестки дня собрания, - 434 960.</w:t>
      </w:r>
    </w:p>
    <w:p w:rsidR="00DA6679" w:rsidRDefault="00DA6679" w:rsidP="00DA6679">
      <w:pPr>
        <w:jc w:val="both"/>
      </w:pPr>
      <w:r>
        <w:t>Кворум по данному вопросу повестки дня имеется.</w:t>
      </w:r>
    </w:p>
    <w:p w:rsidR="00DA6679" w:rsidRDefault="00DA6679" w:rsidP="00DA6679">
      <w:pPr>
        <w:jc w:val="both"/>
      </w:pPr>
      <w:r>
        <w:t>Число голосов, отданных за каждый из вариантов голосования по данному вопросу повестки дня собрания:</w:t>
      </w:r>
    </w:p>
    <w:p w:rsidR="00DA6679" w:rsidRDefault="00DA6679" w:rsidP="00DA6679">
      <w:pPr>
        <w:jc w:val="both"/>
      </w:pPr>
      <w:r>
        <w:t xml:space="preserve"> «за» - 434 </w:t>
      </w:r>
      <w:proofErr w:type="gramStart"/>
      <w:r>
        <w:t xml:space="preserve">922;   </w:t>
      </w:r>
      <w:proofErr w:type="gramEnd"/>
      <w:r>
        <w:t xml:space="preserve">  «против» -   0;     «воздержался» - 0.</w:t>
      </w:r>
    </w:p>
    <w:p w:rsidR="00DA6679" w:rsidRDefault="00DA6679" w:rsidP="00DA6679">
      <w:pPr>
        <w:jc w:val="both"/>
      </w:pPr>
      <w:r>
        <w:rPr>
          <w:b/>
          <w:bCs/>
        </w:rPr>
        <w:t>Решение собрания по первому вопросу повестки дня:</w:t>
      </w:r>
      <w:r>
        <w:rPr>
          <w:b/>
          <w:bCs/>
          <w:color w:val="FF0000"/>
        </w:rPr>
        <w:t xml:space="preserve"> </w:t>
      </w:r>
      <w:r>
        <w:t>Одобрить крупную сделку – договор поручительства ДП2-ЦУ-702750/2022/00004 от 31.03.2022 г. между АО «Терминал Астафьева» (ИНН 2508001618) и Банком ВТБ (публичное акционерное общество) по кредитным обязательствам АО «ДАЛЬКОМХОЛОД» (ИНН 2537003955), возникающим из кредитного соглашения №КС-ЦУ-702750/2022/00004 от 31.03.2022 г. о выдаче кредита в виде кредитной линии с лимитом выдачи 800 000 000,00 (восемьсот миллионов) рублей, сроком до 2555 (две тысячи пятьсот пятидесяти пяти) календарных дней на следующих условиях:</w:t>
      </w:r>
    </w:p>
    <w:p w:rsidR="00DA6679" w:rsidRDefault="00DA6679" w:rsidP="00DA6679">
      <w:pPr>
        <w:jc w:val="both"/>
      </w:pPr>
      <w:r>
        <w:rPr>
          <w:b/>
          <w:bCs/>
        </w:rPr>
        <w:t>Вид сделки:</w:t>
      </w:r>
      <w:r>
        <w:t xml:space="preserve"> Кредитная линия с лимитом выдачи.</w:t>
      </w:r>
    </w:p>
    <w:p w:rsidR="00DA6679" w:rsidRDefault="00DA6679" w:rsidP="00DA6679">
      <w:pPr>
        <w:jc w:val="both"/>
      </w:pPr>
      <w:r>
        <w:rPr>
          <w:b/>
          <w:bCs/>
        </w:rPr>
        <w:t>Сумма сделки:</w:t>
      </w:r>
      <w:r>
        <w:t xml:space="preserve"> 800 000 000,00 (восемьсот миллионов) рублей</w:t>
      </w:r>
    </w:p>
    <w:p w:rsidR="00DA6679" w:rsidRDefault="00DA6679" w:rsidP="00DA6679">
      <w:pPr>
        <w:jc w:val="both"/>
      </w:pPr>
      <w:r>
        <w:rPr>
          <w:b/>
          <w:bCs/>
        </w:rPr>
        <w:t>Срок сделки:</w:t>
      </w:r>
      <w:r>
        <w:t xml:space="preserve"> 2555 дней календарных дней с даты заключения кредитного соглашения в соответствии с графиком погашения кредита, предусмотренным кредитным соглашением</w:t>
      </w:r>
    </w:p>
    <w:p w:rsidR="00DA6679" w:rsidRDefault="00DA6679" w:rsidP="00DA6679">
      <w:pPr>
        <w:jc w:val="both"/>
      </w:pPr>
      <w:r>
        <w:t>Целевое назначение:</w:t>
      </w:r>
    </w:p>
    <w:p w:rsidR="00DA6679" w:rsidRDefault="00DA6679" w:rsidP="00DA6679">
      <w:pPr>
        <w:jc w:val="both"/>
      </w:pPr>
      <w:r>
        <w:t>1. Приобретение долей в уставном капитале юридических лиц ООО «Фабрика мороженое» ИНН 2540049276, ООО «</w:t>
      </w:r>
      <w:proofErr w:type="spellStart"/>
      <w:r>
        <w:t>Владайс</w:t>
      </w:r>
      <w:proofErr w:type="spellEnd"/>
      <w:r>
        <w:t>» ИНН 2539049698</w:t>
      </w:r>
    </w:p>
    <w:p w:rsidR="00DA6679" w:rsidRDefault="00DA6679" w:rsidP="00DA6679">
      <w:pPr>
        <w:jc w:val="both"/>
      </w:pPr>
      <w:r>
        <w:t>2. Финансирование затрат, связанных с приобретением долей в уставном капитале юридических лиц</w:t>
      </w:r>
    </w:p>
    <w:p w:rsidR="00DA6679" w:rsidRDefault="00DA6679" w:rsidP="00DA6679">
      <w:pPr>
        <w:jc w:val="both"/>
        <w:rPr>
          <w:b/>
          <w:bCs/>
        </w:rPr>
      </w:pPr>
      <w:r>
        <w:rPr>
          <w:b/>
          <w:bCs/>
        </w:rPr>
        <w:t>Процентная ставка:</w:t>
      </w:r>
    </w:p>
    <w:p w:rsidR="00DA6679" w:rsidRDefault="00DA6679" w:rsidP="00DA6679">
      <w:pPr>
        <w:jc w:val="both"/>
      </w:pPr>
      <w:r>
        <w:t>Плавающая процентная ставка на базе ключевой ставки Банка России, утвержденная в соответствии с установленным в Банке порядком, определяется как Ключевая ставка Банка России, увеличенная не более чем на 4 процента годовых.</w:t>
      </w:r>
    </w:p>
    <w:p w:rsidR="00DA6679" w:rsidRDefault="00DA6679" w:rsidP="00DA6679">
      <w:pPr>
        <w:jc w:val="both"/>
      </w:pPr>
      <w:r>
        <w:t xml:space="preserve">Значение ключевой ставки Банка России определяется на основании информации, размещенной на официальном сайте Банка России в сети Интернет (на сайте </w:t>
      </w:r>
      <w:hyperlink r:id="rId4" w:history="1">
        <w:r>
          <w:rPr>
            <w:color w:val="0000FF"/>
            <w:u w:val="single"/>
          </w:rPr>
          <w:t>www.cbr.ru</w:t>
        </w:r>
      </w:hyperlink>
      <w:r>
        <w:t xml:space="preserve"> или ином официальном сайте Банка России в случае его изменения).</w:t>
      </w:r>
    </w:p>
    <w:p w:rsidR="00DA6679" w:rsidRDefault="00DA6679" w:rsidP="00DA6679">
      <w:pPr>
        <w:jc w:val="both"/>
      </w:pPr>
      <w:r>
        <w:t>Пересмотр ключевой ставки Банка России осуществляется на ежедневной основе. При изменении ключевой ставки Банка России процентная ставка по Кредитной линии считается измененной в дату, с которой устанавливается новое значение ключевой ставки Банка России.</w:t>
      </w:r>
    </w:p>
    <w:p w:rsidR="00DA6679" w:rsidRDefault="00DA6679" w:rsidP="00DA6679">
      <w:pPr>
        <w:jc w:val="both"/>
        <w:rPr>
          <w:b/>
          <w:bCs/>
        </w:rPr>
      </w:pPr>
      <w:r>
        <w:rPr>
          <w:b/>
          <w:bCs/>
        </w:rPr>
        <w:t>Надбавка к процентной ставке за поддержание кредитовых оборотов менее установленного размера: 1 % годовых;</w:t>
      </w:r>
    </w:p>
    <w:p w:rsidR="00DA6679" w:rsidRDefault="00DA6679" w:rsidP="00DA6679">
      <w:pPr>
        <w:jc w:val="both"/>
        <w:rPr>
          <w:b/>
          <w:bCs/>
        </w:rPr>
      </w:pPr>
      <w:r>
        <w:rPr>
          <w:b/>
          <w:bCs/>
        </w:rPr>
        <w:t>Надбавка к процентной ставке за поддержание дебетовых оборотов менее установленного размера: 1 % годовых;</w:t>
      </w:r>
    </w:p>
    <w:p w:rsidR="00DA6679" w:rsidRDefault="00DA6679" w:rsidP="00DA6679">
      <w:pPr>
        <w:jc w:val="both"/>
      </w:pPr>
      <w:r>
        <w:t>В случае возникновения основания для применения надбавки одновременно за невыполнение кредитовых оборотов и дебетовых оборотов, надбавка может быть применена только по одному из оснований.</w:t>
      </w:r>
    </w:p>
    <w:p w:rsidR="00DA6679" w:rsidRDefault="00DA6679" w:rsidP="00DA6679">
      <w:pPr>
        <w:jc w:val="both"/>
      </w:pPr>
      <w:r>
        <w:lastRenderedPageBreak/>
        <w:t>Измененная процентная ставка начинает действовать с 1-го числа месяца, следующего за месяцем, в котором Заемщику было направлено письменное уведомление об изменении процентной ставки по последнее число месяца, в котором выполнено условие о необходимом размере оборотов, нарушение которого явилось основанием для изменения процентной ставки (включительно).</w:t>
      </w:r>
    </w:p>
    <w:p w:rsidR="00DA6679" w:rsidRDefault="00DA6679" w:rsidP="00DA6679">
      <w:pPr>
        <w:jc w:val="both"/>
        <w:rPr>
          <w:b/>
          <w:bCs/>
        </w:rPr>
      </w:pPr>
      <w:r>
        <w:rPr>
          <w:b/>
          <w:bCs/>
        </w:rPr>
        <w:t>Комиссии/ вознаграждения:</w:t>
      </w:r>
    </w:p>
    <w:p w:rsidR="00DA6679" w:rsidRDefault="00DA6679" w:rsidP="00DA6679">
      <w:pPr>
        <w:jc w:val="both"/>
      </w:pPr>
      <w:r>
        <w:t>•</w:t>
      </w:r>
      <w:r>
        <w:tab/>
        <w:t>За обязательство: 0,20% годовых, начисляемая на неиспользованную сумму лимита выдачи.</w:t>
      </w:r>
    </w:p>
    <w:p w:rsidR="00DA6679" w:rsidRDefault="00DA6679" w:rsidP="00DA6679">
      <w:pPr>
        <w:jc w:val="both"/>
      </w:pPr>
      <w:r>
        <w:t>•</w:t>
      </w:r>
      <w:r>
        <w:tab/>
        <w:t>За выдачу кредитной линии: 30 000 руб. (взимается в обязательном порядке, если финансовое состояние Заемщика не может быть оценено как «хорошее» для целей формирования резервов на момент заключения сделки). Уплачивается до первого использования средств по кредитной сделке.</w:t>
      </w:r>
    </w:p>
    <w:p w:rsidR="00DA6679" w:rsidRDefault="00DA6679" w:rsidP="00DA6679">
      <w:pPr>
        <w:jc w:val="both"/>
        <w:rPr>
          <w:b/>
          <w:bCs/>
        </w:rPr>
      </w:pPr>
      <w:r>
        <w:rPr>
          <w:b/>
          <w:bCs/>
        </w:rPr>
        <w:t>Штрафы и неустойки:</w:t>
      </w:r>
    </w:p>
    <w:p w:rsidR="00DA6679" w:rsidRDefault="00DA6679" w:rsidP="00DA6679">
      <w:pPr>
        <w:jc w:val="both"/>
      </w:pPr>
      <w:r>
        <w:t>•</w:t>
      </w:r>
      <w:r>
        <w:tab/>
        <w:t xml:space="preserve">штраф в размере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</w:t>
      </w:r>
      <w:proofErr w:type="spellStart"/>
      <w:r>
        <w:t>ковенант</w:t>
      </w:r>
      <w:proofErr w:type="spellEnd"/>
      <w:r>
        <w:t xml:space="preserve">; </w:t>
      </w:r>
    </w:p>
    <w:p w:rsidR="00DA6679" w:rsidRDefault="00DA6679" w:rsidP="00DA6679">
      <w:pPr>
        <w:jc w:val="both"/>
      </w:pPr>
      <w:r>
        <w:t>•</w:t>
      </w:r>
      <w:r>
        <w:tab/>
        <w:t xml:space="preserve">неустойка в размере 1/365 максимальной процентной ставки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 </w:t>
      </w:r>
    </w:p>
    <w:p w:rsidR="00DA6679" w:rsidRDefault="00DA6679" w:rsidP="00DA6679">
      <w:pPr>
        <w:jc w:val="both"/>
      </w:pPr>
      <w:r>
        <w:t>•</w:t>
      </w:r>
      <w:r>
        <w:tab/>
        <w:t>неустойка в 2/365 максимальной процентной ставки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DA6679" w:rsidRDefault="00DA6679" w:rsidP="00DA6679">
      <w:pPr>
        <w:jc w:val="both"/>
      </w:pPr>
      <w:r>
        <w:t>•</w:t>
      </w:r>
      <w:r>
        <w:tab/>
        <w:t>иные комиссии, надбавки к процентной ставке и санкции (неустойки, штрафы, пени и т.д.), предусмотренные кредитным соглашением.</w:t>
      </w:r>
    </w:p>
    <w:p w:rsidR="00DA6679" w:rsidRDefault="00DA6679" w:rsidP="00DA6679">
      <w:pPr>
        <w:jc w:val="both"/>
      </w:pPr>
    </w:p>
    <w:p w:rsidR="00DA6679" w:rsidRDefault="00DA6679" w:rsidP="00DA6679">
      <w:pPr>
        <w:jc w:val="both"/>
      </w:pPr>
      <w:r>
        <w:rPr>
          <w:b/>
          <w:bCs/>
        </w:rPr>
        <w:t>Вопрос № 2 повестки дня общего собрания:</w:t>
      </w:r>
      <w:r>
        <w:t xml:space="preserve"> Об одобрении сделки с заинтересованностью - договора поручительства ДП2-ЦУ-702750/2022/00004 от 31.03.2022 г. между АО «Терминал Астафьева» (ИНН 2508001618) и Банком ВТБ (публичное акционерное общество) по кредитным обязательствам АО «ДАЛЬКОМХОЛОД» (ИНН 2537003955), возникающим из кредитного соглашения №КС-ЦУ-702750/2022/00004 от 31.03.2022 г. о выдаче кредита в виде кредитной линии с лимитом выдачи 800 000 000,00 (восемьсот миллионов) рублей, сроком до 2555 (две тысячи пятьсот пятидесяти пяти) календарных дней.</w:t>
      </w:r>
    </w:p>
    <w:p w:rsidR="00DA6679" w:rsidRDefault="00DA6679" w:rsidP="00DA6679">
      <w:pPr>
        <w:jc w:val="both"/>
      </w:pPr>
      <w:r>
        <w:rPr>
          <w:b/>
          <w:bCs/>
        </w:rPr>
        <w:t xml:space="preserve">Результаты голосования </w:t>
      </w:r>
      <w:proofErr w:type="gramStart"/>
      <w:r>
        <w:rPr>
          <w:b/>
          <w:bCs/>
        </w:rPr>
        <w:t>по  второму</w:t>
      </w:r>
      <w:proofErr w:type="gramEnd"/>
      <w:r>
        <w:rPr>
          <w:b/>
          <w:bCs/>
        </w:rPr>
        <w:t xml:space="preserve">  вопросу повестки дня</w:t>
      </w:r>
      <w:r>
        <w:t>:</w:t>
      </w:r>
    </w:p>
    <w:p w:rsidR="00DA6679" w:rsidRDefault="00DA6679" w:rsidP="00DA6679">
      <w:pPr>
        <w:jc w:val="both"/>
      </w:pPr>
      <w:r>
        <w:t xml:space="preserve">Число голосов, которыми обладали лица, включенные в список лиц, имевших право на участие в общем собрании акционеров, по данному вопросу повестки дня общего собрания, - 830 380. </w:t>
      </w:r>
    </w:p>
    <w:p w:rsidR="00DA6679" w:rsidRDefault="00DA6679" w:rsidP="00DA6679">
      <w:pPr>
        <w:jc w:val="both"/>
      </w:pPr>
      <w:r>
        <w:t>Число голосов, приходившихся на голосующие акции общества, по данному вопросу повестки дня общего собрания, определенное с учетом требований п. 4.24. Положение Банка России № 660-П от 16.11.2018г. «Об общих собраниях акционеров», – 472 104.</w:t>
      </w:r>
    </w:p>
    <w:p w:rsidR="00DA6679" w:rsidRDefault="00DA6679" w:rsidP="00DA6679">
      <w:pPr>
        <w:jc w:val="both"/>
      </w:pPr>
      <w:r>
        <w:t>Число голосов, которыми обладали лица, принявшие участие в общем собрании, по данному вопросу повестки дня собрания, - 434 960.</w:t>
      </w:r>
    </w:p>
    <w:p w:rsidR="00DA6679" w:rsidRDefault="00DA6679" w:rsidP="00DA6679">
      <w:pPr>
        <w:jc w:val="both"/>
      </w:pPr>
      <w:r>
        <w:t>Число голосов, которыми обладали лица, не заинтересованные в совершении обществом сделки, принявшие участие в общем собрании акционеров по вопросу повестки дня собрания, - 340 243.</w:t>
      </w:r>
    </w:p>
    <w:p w:rsidR="00DA6679" w:rsidRDefault="00DA6679" w:rsidP="00DA6679">
      <w:pPr>
        <w:jc w:val="both"/>
      </w:pPr>
      <w:r>
        <w:t>Кворум по данному вопросу повестки дня имеется.</w:t>
      </w:r>
    </w:p>
    <w:p w:rsidR="00DA6679" w:rsidRDefault="00DA6679" w:rsidP="00DA6679">
      <w:pPr>
        <w:jc w:val="both"/>
      </w:pPr>
      <w:r>
        <w:lastRenderedPageBreak/>
        <w:t>Число голосов, отданных за каждый из вариантов голосования по данному вопросу повестки дня собрания:</w:t>
      </w:r>
    </w:p>
    <w:p w:rsidR="00DA6679" w:rsidRDefault="00DA6679" w:rsidP="00DA6679">
      <w:pPr>
        <w:jc w:val="both"/>
      </w:pPr>
      <w:r>
        <w:t xml:space="preserve"> «за» - 340 </w:t>
      </w:r>
      <w:proofErr w:type="gramStart"/>
      <w:r>
        <w:t xml:space="preserve">205;   </w:t>
      </w:r>
      <w:proofErr w:type="gramEnd"/>
      <w:r>
        <w:t xml:space="preserve">  «против» -   0;     «воздержался» - 0.</w:t>
      </w:r>
    </w:p>
    <w:p w:rsidR="00DA6679" w:rsidRDefault="00DA6679" w:rsidP="00DA6679">
      <w:pPr>
        <w:jc w:val="both"/>
      </w:pPr>
    </w:p>
    <w:p w:rsidR="00DA6679" w:rsidRDefault="00DA6679" w:rsidP="00DA6679">
      <w:pPr>
        <w:jc w:val="both"/>
      </w:pPr>
      <w:r>
        <w:rPr>
          <w:b/>
          <w:bCs/>
        </w:rPr>
        <w:t>Решение собрания по второму вопросу повестки дня:</w:t>
      </w:r>
      <w:r>
        <w:rPr>
          <w:b/>
          <w:bCs/>
          <w:color w:val="FF0000"/>
        </w:rPr>
        <w:t xml:space="preserve"> </w:t>
      </w:r>
      <w:r>
        <w:t>Одобрить сделку с заинтересованностью – договор поручительства ДП2-ЦУ-702750/2022/00004 от 31.03.2022 г. между АО «Терминал Астафьева» (ИНН 2508001618) и Банком ВТБ (публичное акционерное общество) по кредитным обязательствам АО «ДАЛЬКОМХОЛОД» (ИНН 2537003955), возникающим из кредитного соглашения №КС-ЦУ-702750/2022/00004 от 31.03.2022 г. о выдаче кредита в виде кредитной линии с лимитом выдачи 800 000 000,00 (восемьсот миллионов) рублей, сроком до 2555 (две тысячи пятьсот пятидесяти пяти) календарных дней на следующих условиях:</w:t>
      </w:r>
    </w:p>
    <w:p w:rsidR="00DA6679" w:rsidRDefault="00DA6679" w:rsidP="00DA6679">
      <w:pPr>
        <w:jc w:val="both"/>
      </w:pPr>
      <w:r>
        <w:rPr>
          <w:b/>
          <w:bCs/>
        </w:rPr>
        <w:t>Вид сделки:</w:t>
      </w:r>
      <w:r>
        <w:t xml:space="preserve"> Кредитная линия с лимитом выдачи.</w:t>
      </w:r>
    </w:p>
    <w:p w:rsidR="00DA6679" w:rsidRDefault="00DA6679" w:rsidP="00DA6679">
      <w:pPr>
        <w:jc w:val="both"/>
      </w:pPr>
      <w:r>
        <w:rPr>
          <w:b/>
          <w:bCs/>
        </w:rPr>
        <w:t>Сумма сделки:</w:t>
      </w:r>
      <w:r>
        <w:t xml:space="preserve"> 800 000 000,00 (восемьсот миллионов) рублей</w:t>
      </w:r>
    </w:p>
    <w:p w:rsidR="00DA6679" w:rsidRDefault="00DA6679" w:rsidP="00DA6679">
      <w:pPr>
        <w:jc w:val="both"/>
      </w:pPr>
      <w:r>
        <w:rPr>
          <w:b/>
          <w:bCs/>
        </w:rPr>
        <w:t>Срок сделки:</w:t>
      </w:r>
      <w:r>
        <w:t xml:space="preserve"> 2555 дней календарных дней с даты заключения кредитного соглашения в соответствии с графиком погашения кредита, предусмотренным кредитным соглашением</w:t>
      </w:r>
    </w:p>
    <w:p w:rsidR="00DA6679" w:rsidRDefault="00DA6679" w:rsidP="00DA6679">
      <w:pPr>
        <w:jc w:val="both"/>
        <w:rPr>
          <w:b/>
          <w:bCs/>
        </w:rPr>
      </w:pPr>
      <w:r>
        <w:rPr>
          <w:b/>
          <w:bCs/>
        </w:rPr>
        <w:t>Целевое назначение:</w:t>
      </w:r>
    </w:p>
    <w:p w:rsidR="00DA6679" w:rsidRDefault="00DA6679" w:rsidP="00DA6679">
      <w:pPr>
        <w:jc w:val="both"/>
      </w:pPr>
      <w:r>
        <w:t>1. Приобретение долей в уставном капитале юридических лиц ООО «Фабрика мороженое» ИНН 2540049276, ООО «</w:t>
      </w:r>
      <w:proofErr w:type="spellStart"/>
      <w:r>
        <w:t>Владайс</w:t>
      </w:r>
      <w:proofErr w:type="spellEnd"/>
      <w:r>
        <w:t>» ИНН 2539049698</w:t>
      </w:r>
    </w:p>
    <w:p w:rsidR="00DA6679" w:rsidRDefault="00DA6679" w:rsidP="00DA6679">
      <w:pPr>
        <w:jc w:val="both"/>
      </w:pPr>
      <w:r>
        <w:t>2. Финансирование затрат, связанных с приобретением долей в уставном капитале юридических лиц</w:t>
      </w:r>
    </w:p>
    <w:p w:rsidR="00DA6679" w:rsidRDefault="00DA6679" w:rsidP="00DA6679">
      <w:pPr>
        <w:jc w:val="both"/>
        <w:rPr>
          <w:b/>
          <w:bCs/>
        </w:rPr>
      </w:pPr>
      <w:r>
        <w:rPr>
          <w:b/>
          <w:bCs/>
        </w:rPr>
        <w:t>Процентная ставка:</w:t>
      </w:r>
    </w:p>
    <w:p w:rsidR="00DA6679" w:rsidRDefault="00DA6679" w:rsidP="00DA6679">
      <w:pPr>
        <w:jc w:val="both"/>
      </w:pPr>
      <w:r>
        <w:t>Плавающая процентная ставка на базе ключевой ставки Банка России, утвержденная в соответствии с установленным в Банке порядком, определяется как Ключевая ставка Банка России, увеличенная не более чем на 4 процента годовых.</w:t>
      </w:r>
    </w:p>
    <w:p w:rsidR="00DA6679" w:rsidRDefault="00DA6679" w:rsidP="00DA6679">
      <w:pPr>
        <w:jc w:val="both"/>
      </w:pPr>
      <w:r>
        <w:t xml:space="preserve">Значение ключевой ставки Банка России определяется на основании информации, размещенной на официальном сайте Банка России в сети Интернет (на сайте </w:t>
      </w:r>
      <w:hyperlink r:id="rId5" w:history="1">
        <w:r>
          <w:rPr>
            <w:color w:val="0000FF"/>
            <w:u w:val="single"/>
          </w:rPr>
          <w:t>www.cbr.ru</w:t>
        </w:r>
      </w:hyperlink>
      <w:r>
        <w:t xml:space="preserve"> или ином официальном сайте Банка России в случае его изменения).</w:t>
      </w:r>
    </w:p>
    <w:p w:rsidR="00DA6679" w:rsidRDefault="00DA6679" w:rsidP="00DA6679">
      <w:pPr>
        <w:jc w:val="both"/>
      </w:pPr>
      <w:r>
        <w:t>Пересмотр ключевой ставки Банка России осуществляется на ежедневной основе. При изменении ключевой ставки Банка России процентная ставка по Кредитной линии считается измененной в дату, с которой устанавливается новое значение ключевой ставки Банка России.</w:t>
      </w:r>
    </w:p>
    <w:p w:rsidR="00DA6679" w:rsidRDefault="00DA6679" w:rsidP="00DA6679">
      <w:pPr>
        <w:jc w:val="both"/>
        <w:rPr>
          <w:b/>
          <w:bCs/>
        </w:rPr>
      </w:pPr>
      <w:r>
        <w:rPr>
          <w:b/>
          <w:bCs/>
        </w:rPr>
        <w:t>Надбавка к процентной ставке за поддержание кредитовых оборотов менее установленного размера: 1 % годовых;</w:t>
      </w:r>
    </w:p>
    <w:p w:rsidR="00DA6679" w:rsidRDefault="00DA6679" w:rsidP="00DA6679">
      <w:pPr>
        <w:jc w:val="both"/>
        <w:rPr>
          <w:b/>
          <w:bCs/>
        </w:rPr>
      </w:pPr>
      <w:r>
        <w:rPr>
          <w:b/>
          <w:bCs/>
        </w:rPr>
        <w:t>Надбавка к процентной ставке за поддержание дебетовых оборотов менее установленного размера: 1 % годовых;</w:t>
      </w:r>
    </w:p>
    <w:p w:rsidR="00DA6679" w:rsidRDefault="00DA6679" w:rsidP="00DA6679">
      <w:pPr>
        <w:jc w:val="both"/>
      </w:pPr>
      <w:r>
        <w:t>В случае возникновения основания для применения надбавки одновременно за невыполнение кредитовых оборотов и дебетовых оборотов, надбавка может быть применена только по одному из оснований.</w:t>
      </w:r>
    </w:p>
    <w:p w:rsidR="00DA6679" w:rsidRDefault="00DA6679" w:rsidP="00DA6679">
      <w:pPr>
        <w:jc w:val="both"/>
      </w:pPr>
      <w:r>
        <w:t xml:space="preserve">Измененная процентная ставка начинает действовать с 1-го числа месяца, следующего за месяцем, в котором Заемщику было направлено письменное уведомление об изменении процентной ставки </w:t>
      </w:r>
      <w:r>
        <w:lastRenderedPageBreak/>
        <w:t>по последнее число месяца, в котором выполнено условие о необходимом размере оборотов, нарушение которого явилось основанием для изменения процентной ставки (включительно).</w:t>
      </w:r>
    </w:p>
    <w:p w:rsidR="00DA6679" w:rsidRDefault="00DA6679" w:rsidP="00DA6679">
      <w:pPr>
        <w:jc w:val="both"/>
        <w:rPr>
          <w:b/>
          <w:bCs/>
        </w:rPr>
      </w:pPr>
      <w:r>
        <w:rPr>
          <w:b/>
          <w:bCs/>
        </w:rPr>
        <w:t>Комиссии/ вознаграждения:</w:t>
      </w:r>
    </w:p>
    <w:p w:rsidR="00DA6679" w:rsidRDefault="00DA6679" w:rsidP="00DA6679">
      <w:pPr>
        <w:jc w:val="both"/>
      </w:pPr>
      <w:r>
        <w:t>•</w:t>
      </w:r>
      <w:r>
        <w:tab/>
        <w:t>За обязательство: 0,20% годовых, начисляемая на неиспользованную сумму лимита выдачи.</w:t>
      </w:r>
    </w:p>
    <w:p w:rsidR="00DA6679" w:rsidRDefault="00DA6679" w:rsidP="00DA6679">
      <w:pPr>
        <w:jc w:val="both"/>
      </w:pPr>
      <w:r>
        <w:t>•</w:t>
      </w:r>
      <w:r>
        <w:tab/>
        <w:t>За выдачу кредитной линии: 30 000 руб. (взимается в обязательном порядке, если финансовое состояние Заемщика не может быть оценено как «хорошее» для целей формирования резервов на момент заключения сделки). Уплачивается до первого использования средств по кредитной сделке.</w:t>
      </w:r>
    </w:p>
    <w:p w:rsidR="00DA6679" w:rsidRDefault="00DA6679" w:rsidP="00DA6679">
      <w:pPr>
        <w:jc w:val="both"/>
        <w:rPr>
          <w:b/>
          <w:bCs/>
        </w:rPr>
      </w:pPr>
      <w:r>
        <w:rPr>
          <w:b/>
          <w:bCs/>
        </w:rPr>
        <w:t>Штрафы и неустойки:</w:t>
      </w:r>
    </w:p>
    <w:p w:rsidR="00DA6679" w:rsidRDefault="00DA6679" w:rsidP="00DA6679">
      <w:pPr>
        <w:jc w:val="both"/>
      </w:pPr>
      <w:r>
        <w:t>•</w:t>
      </w:r>
      <w:r>
        <w:tab/>
        <w:t xml:space="preserve">штраф в размере 0.01% от суммы остатка основного долга по кредитному соглашению, сложившегося на момент выявления нарушения, в случае неисполнения\ненадлежащего исполнения заемщиком финансовых </w:t>
      </w:r>
      <w:proofErr w:type="spellStart"/>
      <w:r>
        <w:t>ковенант</w:t>
      </w:r>
      <w:proofErr w:type="spellEnd"/>
      <w:r>
        <w:t xml:space="preserve">; </w:t>
      </w:r>
    </w:p>
    <w:p w:rsidR="00DA6679" w:rsidRDefault="00DA6679" w:rsidP="00DA6679">
      <w:pPr>
        <w:jc w:val="both"/>
      </w:pPr>
      <w:r>
        <w:t>•</w:t>
      </w:r>
      <w:r>
        <w:tab/>
        <w:t xml:space="preserve">неустойка в размере 1/365 максимальной процентной ставки от суммы просроченной задолженности по Основному долгу за каждый день просрочки, начисляемая в случае возникновения просроченной задолженности по Основному долгу; </w:t>
      </w:r>
    </w:p>
    <w:p w:rsidR="00DA6679" w:rsidRDefault="00DA6679" w:rsidP="00DA6679">
      <w:pPr>
        <w:jc w:val="both"/>
      </w:pPr>
      <w:r>
        <w:t>•</w:t>
      </w:r>
      <w:r>
        <w:tab/>
        <w:t>неустойка в 2/365 максимальной процентной ставки от суммы просроченной задолженности по процентам/комиссиям за каждый день просрочки, начисляемая в случае возникновения просроченной задолженности по процентам/комиссии;</w:t>
      </w:r>
    </w:p>
    <w:p w:rsidR="00DA6679" w:rsidRDefault="00DA6679" w:rsidP="00DA6679">
      <w:pPr>
        <w:jc w:val="both"/>
      </w:pPr>
      <w:r>
        <w:t>•</w:t>
      </w:r>
      <w:r>
        <w:tab/>
        <w:t>иные комиссии, надбавки к процентной ставке и санкции (неустойки, штрафы, пени и т.д.), предусмотренные кредитным соглашением.</w:t>
      </w:r>
    </w:p>
    <w:p w:rsidR="00DA6679" w:rsidRDefault="00DA6679" w:rsidP="00DA6679">
      <w:pPr>
        <w:jc w:val="both"/>
      </w:pPr>
    </w:p>
    <w:p w:rsidR="00DA6679" w:rsidRDefault="00DA6679" w:rsidP="00DA6679">
      <w:pPr>
        <w:jc w:val="both"/>
      </w:pPr>
      <w:r>
        <w:t>После рассмотрения вопросов повестки дня председатель собрания объявил о закрытии внеочередного общего собрания акционеров АО «Терминал Астафьева».</w:t>
      </w:r>
    </w:p>
    <w:p w:rsidR="00DA6679" w:rsidRDefault="00DA6679" w:rsidP="00DA6679">
      <w:pPr>
        <w:jc w:val="both"/>
        <w:rPr>
          <w:b/>
          <w:bCs/>
        </w:rPr>
      </w:pPr>
    </w:p>
    <w:p w:rsidR="00DA6679" w:rsidRDefault="00DA6679" w:rsidP="00DA6679">
      <w:pPr>
        <w:jc w:val="both"/>
      </w:pPr>
      <w:r>
        <w:t xml:space="preserve">Функции счетной комиссии выполнял </w:t>
      </w:r>
      <w:proofErr w:type="gramStart"/>
      <w:r>
        <w:t>Регистратор:  Акционерное</w:t>
      </w:r>
      <w:proofErr w:type="gramEnd"/>
      <w:r>
        <w:t xml:space="preserve"> общество «Регистраторское общество «СТАТУС».</w:t>
      </w:r>
    </w:p>
    <w:p w:rsidR="00DA6679" w:rsidRDefault="00DA6679" w:rsidP="00DA6679">
      <w:pPr>
        <w:jc w:val="both"/>
      </w:pPr>
      <w:r>
        <w:t>Местонахождение общества: г. Москва</w:t>
      </w:r>
    </w:p>
    <w:p w:rsidR="00DA6679" w:rsidRDefault="00DA6679" w:rsidP="00DA6679">
      <w:pPr>
        <w:keepNext/>
        <w:rPr>
          <w:i/>
          <w:iCs/>
        </w:rPr>
      </w:pPr>
      <w:r>
        <w:t>Адрес общества: г. Москва, ул</w:t>
      </w:r>
      <w:r>
        <w:rPr>
          <w:i/>
          <w:iCs/>
        </w:rPr>
        <w:t xml:space="preserve">. </w:t>
      </w:r>
      <w:proofErr w:type="spellStart"/>
      <w:r>
        <w:t>Новохохловская</w:t>
      </w:r>
      <w:proofErr w:type="spellEnd"/>
      <w:r>
        <w:t>, д.23, стр.1, пом.1</w:t>
      </w:r>
      <w:r>
        <w:rPr>
          <w:i/>
          <w:iCs/>
        </w:rPr>
        <w:t xml:space="preserve">.    </w:t>
      </w:r>
    </w:p>
    <w:p w:rsidR="00DA6679" w:rsidRDefault="00DA6679" w:rsidP="00DA6679">
      <w:pPr>
        <w:jc w:val="both"/>
      </w:pPr>
      <w:r>
        <w:t xml:space="preserve">Адрес Находкинского филиала АО «СТАТУС»: Приморский край, г. Находка, ул. Портовая, 3А, оф.218   </w:t>
      </w:r>
    </w:p>
    <w:p w:rsidR="00DA6679" w:rsidRDefault="00DA6679" w:rsidP="00DA6679">
      <w:pPr>
        <w:jc w:val="both"/>
      </w:pPr>
      <w:r>
        <w:t xml:space="preserve">Уполномоченное лицо Регистратора: </w:t>
      </w:r>
      <w:proofErr w:type="spellStart"/>
      <w:r>
        <w:t>Приц</w:t>
      </w:r>
      <w:proofErr w:type="spellEnd"/>
      <w:r>
        <w:t xml:space="preserve"> Светлана Анатольевна (доверенность № 7-22 от 11.01.2022г.).   </w:t>
      </w:r>
    </w:p>
    <w:p w:rsidR="00DA6679" w:rsidRDefault="00DA6679" w:rsidP="00DA6679">
      <w:pPr>
        <w:jc w:val="both"/>
        <w:rPr>
          <w:b/>
          <w:bCs/>
        </w:rPr>
      </w:pPr>
    </w:p>
    <w:p w:rsidR="00DA6679" w:rsidRDefault="00DA6679" w:rsidP="00DA6679">
      <w:pPr>
        <w:jc w:val="both"/>
        <w:rPr>
          <w:b/>
          <w:bCs/>
        </w:rPr>
      </w:pPr>
      <w:r>
        <w:rPr>
          <w:b/>
          <w:bCs/>
        </w:rPr>
        <w:t xml:space="preserve">Председатель </w:t>
      </w:r>
      <w:proofErr w:type="gramStart"/>
      <w:r>
        <w:rPr>
          <w:b/>
          <w:bCs/>
        </w:rPr>
        <w:t xml:space="preserve">собрания:   </w:t>
      </w:r>
      <w:proofErr w:type="gramEnd"/>
      <w:r>
        <w:rPr>
          <w:b/>
          <w:bCs/>
        </w:rPr>
        <w:t xml:space="preserve">                                  Гранатов А.И.</w:t>
      </w:r>
    </w:p>
    <w:p w:rsidR="00DA6679" w:rsidRDefault="00DA6679" w:rsidP="00DA6679">
      <w:pPr>
        <w:jc w:val="both"/>
        <w:rPr>
          <w:b/>
          <w:bCs/>
        </w:rPr>
      </w:pPr>
    </w:p>
    <w:p w:rsidR="00DA6679" w:rsidRDefault="00DA6679" w:rsidP="00DA6679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Секретарь </w:t>
      </w:r>
      <w:proofErr w:type="gramStart"/>
      <w:r>
        <w:rPr>
          <w:b/>
          <w:bCs/>
        </w:rPr>
        <w:t xml:space="preserve">собрания:   </w:t>
      </w:r>
      <w:proofErr w:type="gramEnd"/>
      <w:r>
        <w:rPr>
          <w:b/>
          <w:bCs/>
        </w:rPr>
        <w:t xml:space="preserve">                                        Селиверстов А.А.</w:t>
      </w:r>
      <w:r>
        <w:rPr>
          <w:b/>
          <w:bCs/>
          <w:color w:val="FF0000"/>
        </w:rPr>
        <w:tab/>
      </w:r>
    </w:p>
    <w:p w:rsidR="00DA6679" w:rsidRDefault="00DA6679" w:rsidP="00DA6679">
      <w:pPr>
        <w:jc w:val="both"/>
        <w:rPr>
          <w:b/>
          <w:bCs/>
          <w:color w:val="FF0000"/>
        </w:rPr>
      </w:pPr>
    </w:p>
    <w:p w:rsidR="00E50A3F" w:rsidRDefault="00E50A3F" w:rsidP="00DA6679">
      <w:bookmarkStart w:id="0" w:name="_GoBack"/>
      <w:bookmarkEnd w:id="0"/>
    </w:p>
    <w:sectPr w:rsidR="00E5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79"/>
    <w:rsid w:val="00DA6679"/>
    <w:rsid w:val="00E5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98CE6-269A-444A-927A-250D5B55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A6679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A6679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6679"/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A667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cbr.ru" TargetMode="External"/><Relationship Id="rId4" Type="http://schemas.openxmlformats.org/officeDocument/2006/relationships/hyperlink" Target="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2022-09-16T02:14:00Z</dcterms:created>
  <dcterms:modified xsi:type="dcterms:W3CDTF">2022-09-16T02:15:00Z</dcterms:modified>
</cp:coreProperties>
</file>